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C" w:rsidRDefault="007F1AE2">
      <w:pPr>
        <w:rPr>
          <w:b/>
          <w:sz w:val="32"/>
        </w:rPr>
      </w:pPr>
      <w:bookmarkStart w:id="0" w:name="_GoBack"/>
      <w:bookmarkEnd w:id="0"/>
      <w:r w:rsidRPr="00E14640">
        <w:rPr>
          <w:b/>
          <w:sz w:val="32"/>
        </w:rPr>
        <w:t>Class 1 Planning – 6</w:t>
      </w:r>
      <w:r w:rsidRPr="00E14640">
        <w:rPr>
          <w:b/>
          <w:sz w:val="32"/>
          <w:vertAlign w:val="superscript"/>
        </w:rPr>
        <w:t>th</w:t>
      </w:r>
      <w:r w:rsidRPr="00E14640">
        <w:rPr>
          <w:b/>
          <w:sz w:val="32"/>
        </w:rPr>
        <w:t xml:space="preserve"> – 10</w:t>
      </w:r>
      <w:r w:rsidRPr="00E14640">
        <w:rPr>
          <w:b/>
          <w:sz w:val="32"/>
          <w:vertAlign w:val="superscript"/>
        </w:rPr>
        <w:t>th</w:t>
      </w:r>
      <w:r w:rsidRPr="00E14640">
        <w:rPr>
          <w:b/>
          <w:sz w:val="32"/>
        </w:rPr>
        <w:t xml:space="preserve"> July 2020</w:t>
      </w:r>
    </w:p>
    <w:p w:rsidR="003E31BC" w:rsidRDefault="00E1464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380BE0" wp14:editId="352C7681">
            <wp:simplePos x="0" y="0"/>
            <wp:positionH relativeFrom="column">
              <wp:posOffset>-25400</wp:posOffset>
            </wp:positionH>
            <wp:positionV relativeFrom="paragraph">
              <wp:posOffset>486410</wp:posOffset>
            </wp:positionV>
            <wp:extent cx="5731510" cy="37318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40">
        <w:rPr>
          <w:b/>
          <w:sz w:val="32"/>
        </w:rPr>
        <w:t>Litera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E61B1C" wp14:editId="4BAAE6D9">
            <wp:simplePos x="0" y="0"/>
            <wp:positionH relativeFrom="column">
              <wp:posOffset>0</wp:posOffset>
            </wp:positionH>
            <wp:positionV relativeFrom="paragraph">
              <wp:posOffset>4221480</wp:posOffset>
            </wp:positionV>
            <wp:extent cx="5731510" cy="37998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14640">
        <w:rPr>
          <w:b/>
          <w:sz w:val="32"/>
        </w:rPr>
        <w:t>cy</w:t>
      </w:r>
      <w:proofErr w:type="gramEnd"/>
      <w:r w:rsidRPr="00E14640">
        <w:rPr>
          <w:b/>
          <w:sz w:val="32"/>
        </w:rPr>
        <w:t xml:space="preserve"> </w:t>
      </w:r>
    </w:p>
    <w:p w:rsidR="003E31BC" w:rsidRDefault="003E31BC">
      <w:pPr>
        <w:rPr>
          <w:b/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52C6CD4" wp14:editId="0457CAC0">
            <wp:simplePos x="0" y="0"/>
            <wp:positionH relativeFrom="column">
              <wp:posOffset>3810</wp:posOffset>
            </wp:positionH>
            <wp:positionV relativeFrom="paragraph">
              <wp:posOffset>4286250</wp:posOffset>
            </wp:positionV>
            <wp:extent cx="5731510" cy="3785870"/>
            <wp:effectExtent l="0" t="0" r="254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670A29E" wp14:editId="6A1B522D">
            <wp:extent cx="5731510" cy="39141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64F" w:rsidRPr="000A164F">
        <w:rPr>
          <w:noProof/>
          <w:lang w:eastAsia="en-GB"/>
        </w:rPr>
        <w:t xml:space="preserve"> </w:t>
      </w:r>
    </w:p>
    <w:p w:rsidR="003E31BC" w:rsidRPr="003E31BC" w:rsidRDefault="003E31BC" w:rsidP="003E31BC">
      <w:pPr>
        <w:rPr>
          <w:sz w:val="32"/>
        </w:rPr>
      </w:pPr>
    </w:p>
    <w:p w:rsidR="003E31BC" w:rsidRPr="003E31BC" w:rsidRDefault="003E31BC" w:rsidP="003E31BC">
      <w:pPr>
        <w:tabs>
          <w:tab w:val="left" w:pos="2274"/>
        </w:tabs>
        <w:rPr>
          <w:sz w:val="32"/>
        </w:rPr>
      </w:pPr>
      <w:r>
        <w:rPr>
          <w:sz w:val="32"/>
        </w:rPr>
        <w:lastRenderedPageBreak/>
        <w:tab/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B9EDE7" wp14:editId="7BE8934D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731510" cy="327914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BC" w:rsidRPr="003E31BC" w:rsidRDefault="00F30DF6" w:rsidP="003E31BC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3596005"/>
            <wp:effectExtent l="0" t="0" r="254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BC" w:rsidRPr="003E31BC" w:rsidRDefault="003E31BC" w:rsidP="003E31BC">
      <w:pPr>
        <w:rPr>
          <w:sz w:val="32"/>
        </w:rPr>
      </w:pPr>
    </w:p>
    <w:p w:rsidR="003E31BC" w:rsidRPr="003E31BC" w:rsidRDefault="003E31BC" w:rsidP="003E31BC">
      <w:pPr>
        <w:rPr>
          <w:sz w:val="32"/>
        </w:rPr>
      </w:pPr>
    </w:p>
    <w:p w:rsidR="003E31BC" w:rsidRPr="003E31BC" w:rsidRDefault="003E31BC" w:rsidP="003E31BC">
      <w:pPr>
        <w:rPr>
          <w:sz w:val="32"/>
        </w:rPr>
      </w:pPr>
    </w:p>
    <w:p w:rsidR="003E31BC" w:rsidRDefault="00B35B0A" w:rsidP="003E31BC">
      <w:pPr>
        <w:rPr>
          <w:b/>
          <w:sz w:val="32"/>
        </w:rPr>
      </w:pPr>
      <w:r w:rsidRPr="00B35B0A">
        <w:rPr>
          <w:b/>
          <w:sz w:val="32"/>
        </w:rPr>
        <w:lastRenderedPageBreak/>
        <w:t>Maths</w:t>
      </w:r>
    </w:p>
    <w:p w:rsidR="00110638" w:rsidRDefault="00110638" w:rsidP="003E31BC">
      <w:pPr>
        <w:rPr>
          <w:b/>
          <w:sz w:val="32"/>
        </w:rPr>
      </w:pPr>
      <w:r>
        <w:rPr>
          <w:b/>
          <w:sz w:val="32"/>
        </w:rPr>
        <w:t xml:space="preserve">For maths this week, we will be working from The Oak Academy online lessons. </w:t>
      </w:r>
    </w:p>
    <w:p w:rsidR="003A0709" w:rsidRDefault="003A0709" w:rsidP="003E31BC">
      <w:pPr>
        <w:rPr>
          <w:b/>
          <w:sz w:val="32"/>
        </w:rPr>
      </w:pPr>
    </w:p>
    <w:p w:rsidR="00110638" w:rsidRPr="00110638" w:rsidRDefault="00110638" w:rsidP="003E31BC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 w:rsidRPr="003A0709">
        <w:rPr>
          <w:b/>
          <w:color w:val="000000" w:themeColor="text1"/>
          <w:sz w:val="32"/>
          <w:u w:val="single"/>
        </w:rPr>
        <w:t>Year 1</w:t>
      </w:r>
      <w:r w:rsidRPr="00110638">
        <w:rPr>
          <w:b/>
          <w:color w:val="000000" w:themeColor="text1"/>
          <w:sz w:val="32"/>
        </w:rPr>
        <w:t>-</w:t>
      </w: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Numbers 50-100 and Beyond</w:t>
      </w:r>
    </w:p>
    <w:p w:rsidR="00110638" w:rsidRDefault="00110638" w:rsidP="003E31BC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Click on the link below and scroll down until you get to the 10 lessons on Numbers 50-100 and </w:t>
      </w:r>
      <w:proofErr w:type="gramStart"/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Beyond</w:t>
      </w:r>
      <w:proofErr w:type="gramEnd"/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.</w:t>
      </w:r>
    </w:p>
    <w:p w:rsidR="003A0709" w:rsidRPr="003A0709" w:rsidRDefault="00770002" w:rsidP="003E31BC">
      <w:pPr>
        <w:rPr>
          <w:b/>
          <w:sz w:val="32"/>
        </w:rPr>
      </w:pPr>
      <w:hyperlink r:id="rId11" w:history="1">
        <w:r w:rsidR="003A0709" w:rsidRPr="004C486A">
          <w:rPr>
            <w:rStyle w:val="Hyperlink"/>
            <w:b/>
            <w:sz w:val="32"/>
          </w:rPr>
          <w:t>https://classroom.thenational.academy/subjects-by-year/year-1/subjects/maths</w:t>
        </w:r>
      </w:hyperlink>
    </w:p>
    <w:p w:rsidR="00110638" w:rsidRDefault="003A0709" w:rsidP="003E31BC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Monday - </w:t>
      </w:r>
      <w:r w:rsidR="00110638"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Click</w:t>
      </w:r>
      <w:r w:rsid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on the Lesson 1. </w:t>
      </w:r>
      <w:r w:rsidR="00110638" w:rsidRPr="0011063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To recognise, read and write numbers to 100</w:t>
      </w:r>
      <w:r w:rsid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. The children will do an introductory quiz online, </w:t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video tutorial with questions and a final quiz. </w:t>
      </w:r>
    </w:p>
    <w:p w:rsidR="003A0709" w:rsidRDefault="003A0709" w:rsidP="003E31BC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Continue to work through lessons 2 </w:t>
      </w:r>
      <w:r w:rsidRPr="003A0709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sym w:font="Wingdings" w:char="F0E0"/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5 during the week.</w:t>
      </w:r>
    </w:p>
    <w:p w:rsidR="003A0709" w:rsidRPr="00110638" w:rsidRDefault="003A0709" w:rsidP="003E31BC">
      <w:pPr>
        <w:rPr>
          <w:b/>
          <w:color w:val="000000" w:themeColor="text1"/>
          <w:sz w:val="32"/>
        </w:rPr>
      </w:pPr>
    </w:p>
    <w:p w:rsidR="003A0709" w:rsidRPr="00110638" w:rsidRDefault="003A0709" w:rsidP="003A0709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 w:rsidRPr="003A0709">
        <w:rPr>
          <w:b/>
          <w:color w:val="000000" w:themeColor="text1"/>
          <w:sz w:val="32"/>
          <w:u w:val="single"/>
        </w:rPr>
        <w:t xml:space="preserve">Year </w:t>
      </w:r>
      <w:r w:rsidR="008F50E2">
        <w:rPr>
          <w:b/>
          <w:color w:val="000000" w:themeColor="text1"/>
          <w:sz w:val="32"/>
          <w:u w:val="single"/>
        </w:rPr>
        <w:t>R</w:t>
      </w:r>
      <w:r w:rsidRPr="00110638">
        <w:rPr>
          <w:b/>
          <w:color w:val="000000" w:themeColor="text1"/>
          <w:sz w:val="32"/>
        </w:rPr>
        <w:t>-</w:t>
      </w:r>
      <w:r w:rsidR="002E5791" w:rsidRPr="002E5791">
        <w:rPr>
          <w:rFonts w:ascii="inherit" w:hAnsi="inherit"/>
          <w:b/>
          <w:bCs/>
          <w:color w:val="434343"/>
          <w:sz w:val="38"/>
          <w:szCs w:val="38"/>
          <w:shd w:val="clear" w:color="auto" w:fill="F8F8F8"/>
        </w:rPr>
        <w:t xml:space="preserve"> </w:t>
      </w:r>
      <w:r w:rsidR="00716A05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Doubling and halving</w:t>
      </w:r>
    </w:p>
    <w:p w:rsidR="003A0709" w:rsidRDefault="003A0709" w:rsidP="003A0709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Click on the link below and scr</w:t>
      </w:r>
      <w:r w:rsidR="00716A05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oll down until you get to the 5</w:t>
      </w: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lessons on </w:t>
      </w:r>
      <w:r w:rsidR="00716A05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Doubling and halving</w:t>
      </w:r>
      <w:r w:rsidR="002E5791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(you have to scroll down the page a long way)</w:t>
      </w: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.</w:t>
      </w:r>
    </w:p>
    <w:p w:rsidR="002E5791" w:rsidRDefault="00770002" w:rsidP="003A0709">
      <w:pPr>
        <w:rPr>
          <w:b/>
          <w:sz w:val="32"/>
        </w:rPr>
      </w:pPr>
      <w:hyperlink r:id="rId12" w:history="1">
        <w:r w:rsidR="002E5791" w:rsidRPr="004C486A">
          <w:rPr>
            <w:rStyle w:val="Hyperlink"/>
            <w:b/>
            <w:sz w:val="32"/>
          </w:rPr>
          <w:t>https://classroom.thenational.academy/subjects-by-year/reception/subjects/maths</w:t>
        </w:r>
      </w:hyperlink>
    </w:p>
    <w:p w:rsidR="003A0709" w:rsidRDefault="003A0709" w:rsidP="003A0709">
      <w:pP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</w:pP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Monday - </w:t>
      </w:r>
      <w:r w:rsidRPr="00110638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Click</w:t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on the Lesson 1. </w:t>
      </w:r>
      <w:r w:rsidR="00716A05">
        <w:rPr>
          <w:rFonts w:cstheme="minorHAnsi"/>
          <w:b/>
          <w:bCs/>
          <w:color w:val="000000" w:themeColor="text1"/>
          <w:sz w:val="32"/>
          <w:szCs w:val="75"/>
          <w:shd w:val="clear" w:color="auto" w:fill="FFFFFF"/>
        </w:rPr>
        <w:t>Understand the concept of double.</w:t>
      </w:r>
      <w:r w:rsidRPr="002E5791">
        <w:rPr>
          <w:rFonts w:cstheme="minorHAnsi"/>
          <w:b/>
          <w:bCs/>
          <w:color w:val="000000" w:themeColor="text1"/>
          <w:sz w:val="12"/>
          <w:szCs w:val="38"/>
          <w:shd w:val="clear" w:color="auto" w:fill="F8F8F8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The children will </w:t>
      </w:r>
      <w:r w:rsidR="002E5791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watch a video and the</w:t>
      </w:r>
      <w:r w:rsidR="00716A05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>n</w:t>
      </w:r>
      <w:r w:rsidR="002E5791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do the activities</w:t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. </w:t>
      </w:r>
    </w:p>
    <w:p w:rsidR="003A0709" w:rsidRPr="00110638" w:rsidRDefault="003A0709" w:rsidP="003A0709">
      <w:pPr>
        <w:rPr>
          <w:b/>
          <w:color w:val="000000" w:themeColor="text1"/>
          <w:sz w:val="32"/>
        </w:rPr>
      </w:pP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Continue to work through lessons 2 </w:t>
      </w:r>
      <w:r w:rsidRPr="003A0709"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sym w:font="Wingdings" w:char="F0E0"/>
      </w:r>
      <w:r>
        <w:rPr>
          <w:rFonts w:cstheme="minorHAnsi"/>
          <w:b/>
          <w:bCs/>
          <w:color w:val="000000" w:themeColor="text1"/>
          <w:sz w:val="32"/>
          <w:szCs w:val="38"/>
          <w:shd w:val="clear" w:color="auto" w:fill="F8F8F8"/>
        </w:rPr>
        <w:t xml:space="preserve"> 5 during the week.</w:t>
      </w:r>
    </w:p>
    <w:p w:rsidR="00110638" w:rsidRPr="00B35B0A" w:rsidRDefault="00110638" w:rsidP="003E31BC">
      <w:pPr>
        <w:rPr>
          <w:b/>
          <w:sz w:val="32"/>
        </w:rPr>
      </w:pPr>
    </w:p>
    <w:p w:rsidR="003E31BC" w:rsidRPr="003E31BC" w:rsidRDefault="003E31BC" w:rsidP="003E31BC">
      <w:pPr>
        <w:rPr>
          <w:sz w:val="32"/>
        </w:rPr>
      </w:pPr>
    </w:p>
    <w:p w:rsidR="003E31BC" w:rsidRPr="003E31BC" w:rsidRDefault="003E31BC" w:rsidP="003E31BC">
      <w:pPr>
        <w:rPr>
          <w:sz w:val="32"/>
        </w:rPr>
      </w:pPr>
    </w:p>
    <w:p w:rsidR="003E31BC" w:rsidRDefault="00F15089" w:rsidP="003E31BC">
      <w:pPr>
        <w:rPr>
          <w:b/>
          <w:sz w:val="32"/>
          <w:u w:val="single"/>
        </w:rPr>
      </w:pPr>
      <w:r w:rsidRPr="00F15089">
        <w:rPr>
          <w:b/>
          <w:sz w:val="32"/>
          <w:u w:val="single"/>
        </w:rPr>
        <w:lastRenderedPageBreak/>
        <w:t>Other Activities</w:t>
      </w:r>
    </w:p>
    <w:p w:rsidR="00F15089" w:rsidRPr="00F15089" w:rsidRDefault="00F15089" w:rsidP="003E31BC">
      <w:pPr>
        <w:rPr>
          <w:b/>
          <w:sz w:val="32"/>
        </w:rPr>
      </w:pPr>
      <w:r w:rsidRPr="00F15089">
        <w:rPr>
          <w:b/>
          <w:sz w:val="32"/>
        </w:rPr>
        <w:t xml:space="preserve">This week we are using the Home Study Resource ‘Get Moving!’ produce by Hampshire. </w:t>
      </w:r>
      <w:r>
        <w:rPr>
          <w:b/>
          <w:sz w:val="32"/>
        </w:rPr>
        <w:t>We are encouraging children to try three of the s</w:t>
      </w:r>
      <w:r w:rsidR="007B3A1F">
        <w:rPr>
          <w:b/>
          <w:sz w:val="32"/>
        </w:rPr>
        <w:t>uggested activities in the pack which you can find attached as a PDF. Have fun!</w:t>
      </w:r>
    </w:p>
    <w:p w:rsidR="003E31BC" w:rsidRPr="00F15089" w:rsidRDefault="003E31BC" w:rsidP="003E31BC">
      <w:pPr>
        <w:rPr>
          <w:sz w:val="32"/>
        </w:rPr>
      </w:pPr>
    </w:p>
    <w:p w:rsidR="00E14640" w:rsidRPr="003E31BC" w:rsidRDefault="00E14640" w:rsidP="003E31BC">
      <w:pPr>
        <w:rPr>
          <w:sz w:val="32"/>
        </w:rPr>
      </w:pPr>
    </w:p>
    <w:sectPr w:rsidR="00E14640" w:rsidRPr="003E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2"/>
    <w:rsid w:val="000A164F"/>
    <w:rsid w:val="00110638"/>
    <w:rsid w:val="002E5791"/>
    <w:rsid w:val="003A0709"/>
    <w:rsid w:val="003D090F"/>
    <w:rsid w:val="003E31BC"/>
    <w:rsid w:val="004F276D"/>
    <w:rsid w:val="00716A05"/>
    <w:rsid w:val="007B3A1F"/>
    <w:rsid w:val="007F1AE2"/>
    <w:rsid w:val="008F50E2"/>
    <w:rsid w:val="00B35B0A"/>
    <w:rsid w:val="00CC0824"/>
    <w:rsid w:val="00D05C23"/>
    <w:rsid w:val="00E14640"/>
    <w:rsid w:val="00EC7EBF"/>
    <w:rsid w:val="00F15089"/>
    <w:rsid w:val="00F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subjects-by-year/reception/subjects/mat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subjects-by-year/year-1/subjects/math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A0F76BE0</Template>
  <TotalTime>1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2</cp:revision>
  <dcterms:created xsi:type="dcterms:W3CDTF">2020-06-29T15:37:00Z</dcterms:created>
  <dcterms:modified xsi:type="dcterms:W3CDTF">2020-06-29T15:37:00Z</dcterms:modified>
</cp:coreProperties>
</file>